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25" w:rsidRPr="000A3F0C" w:rsidRDefault="00003725" w:rsidP="00003725">
      <w:pPr>
        <w:pStyle w:val="NoSpacing"/>
        <w:rPr>
          <w:b/>
        </w:rPr>
      </w:pPr>
      <w:r>
        <w:tab/>
      </w:r>
      <w:r>
        <w:tab/>
      </w:r>
      <w:r>
        <w:tab/>
        <w:t xml:space="preserve">   </w:t>
      </w:r>
      <w:bookmarkStart w:id="0" w:name="_GoBack"/>
      <w:bookmarkEnd w:id="0"/>
      <w:r>
        <w:t xml:space="preserve">  </w:t>
      </w:r>
      <w:r w:rsidR="000A3F0C">
        <w:tab/>
      </w:r>
      <w:r w:rsidRPr="000A3F0C">
        <w:rPr>
          <w:b/>
        </w:rPr>
        <w:t>BIG SKY RESORT AREA DISTRICT</w:t>
      </w:r>
    </w:p>
    <w:p w:rsidR="00003725" w:rsidRPr="000A3F0C" w:rsidRDefault="00003725" w:rsidP="00003725">
      <w:pPr>
        <w:pStyle w:val="NoSpacing"/>
        <w:rPr>
          <w:b/>
        </w:rPr>
      </w:pPr>
      <w:r w:rsidRPr="000A3F0C">
        <w:rPr>
          <w:b/>
        </w:rPr>
        <w:tab/>
      </w:r>
      <w:r w:rsidRPr="000A3F0C">
        <w:rPr>
          <w:b/>
        </w:rPr>
        <w:tab/>
      </w:r>
      <w:r w:rsidRPr="000A3F0C">
        <w:rPr>
          <w:b/>
        </w:rPr>
        <w:tab/>
      </w:r>
      <w:r w:rsidR="000A3F0C" w:rsidRPr="000A3F0C">
        <w:rPr>
          <w:b/>
        </w:rPr>
        <w:t xml:space="preserve">          </w:t>
      </w:r>
      <w:r w:rsidRPr="000A3F0C">
        <w:rPr>
          <w:b/>
        </w:rPr>
        <w:t>PROPOSED ORDINANCE NO. 2014-02</w:t>
      </w:r>
    </w:p>
    <w:p w:rsidR="00003725" w:rsidRPr="000A3F0C" w:rsidRDefault="00003725" w:rsidP="00003725">
      <w:pPr>
        <w:pStyle w:val="NoSpacing"/>
        <w:rPr>
          <w:b/>
        </w:rPr>
      </w:pPr>
    </w:p>
    <w:p w:rsidR="00003725" w:rsidRPr="000A3F0C" w:rsidRDefault="00003725" w:rsidP="00003725">
      <w:pPr>
        <w:pStyle w:val="NoSpacing"/>
        <w:rPr>
          <w:b/>
        </w:rPr>
      </w:pPr>
      <w:r w:rsidRPr="000A3F0C">
        <w:rPr>
          <w:b/>
        </w:rPr>
        <w:t xml:space="preserve">AN ORDINANCE PROVIDING FOR THE PROCEDURES IMPLEMENTING THE BIG SKY RESORT AREA DISTRICT’S AUTHORITY TO ISSUE BONDS AND </w:t>
      </w:r>
      <w:r w:rsidR="00897A9E">
        <w:rPr>
          <w:b/>
        </w:rPr>
        <w:t xml:space="preserve">PLEDGE THE REPAYMENT OF THE BONDS </w:t>
      </w:r>
      <w:r w:rsidR="006A3631">
        <w:rPr>
          <w:b/>
        </w:rPr>
        <w:t>FROM</w:t>
      </w:r>
      <w:r w:rsidR="00897A9E">
        <w:rPr>
          <w:b/>
        </w:rPr>
        <w:t xml:space="preserve"> </w:t>
      </w:r>
      <w:r w:rsidR="006A3631">
        <w:rPr>
          <w:b/>
        </w:rPr>
        <w:tab/>
      </w:r>
      <w:r w:rsidR="006A3631">
        <w:rPr>
          <w:b/>
        </w:rPr>
        <w:tab/>
      </w:r>
      <w:r w:rsidR="006A3631">
        <w:rPr>
          <w:b/>
        </w:rPr>
        <w:tab/>
      </w:r>
      <w:r w:rsidR="006A3631">
        <w:rPr>
          <w:b/>
        </w:rPr>
        <w:tab/>
      </w:r>
      <w:r w:rsidR="006A3631">
        <w:rPr>
          <w:b/>
        </w:rPr>
        <w:tab/>
      </w:r>
      <w:r w:rsidR="00897A9E">
        <w:rPr>
          <w:b/>
        </w:rPr>
        <w:t xml:space="preserve">REVENUE DERIVED FROM THE RESORT TAX </w:t>
      </w:r>
    </w:p>
    <w:p w:rsidR="000A3F0C" w:rsidRPr="000A3F0C" w:rsidRDefault="000A3F0C" w:rsidP="00003725">
      <w:pPr>
        <w:pStyle w:val="NoSpacing"/>
        <w:rPr>
          <w:b/>
        </w:rPr>
      </w:pPr>
    </w:p>
    <w:p w:rsidR="000A3F0C" w:rsidRPr="007717F0" w:rsidRDefault="000A3F0C" w:rsidP="00003725">
      <w:pPr>
        <w:pStyle w:val="NoSpacing"/>
        <w:rPr>
          <w:b/>
        </w:rPr>
      </w:pPr>
      <w:r w:rsidRPr="007717F0">
        <w:rPr>
          <w:b/>
        </w:rPr>
        <w:t>PURSUANT TO THE AUTHORITY VESTED IN THE BIG SKY RESORT AREA DISTRICT BOARD OF DIRECTORS UNDER §7-6-1505, 7-6-154</w:t>
      </w:r>
      <w:r w:rsidR="00583FEB" w:rsidRPr="007717F0">
        <w:rPr>
          <w:b/>
        </w:rPr>
        <w:t>2</w:t>
      </w:r>
      <w:r w:rsidRPr="007717F0">
        <w:rPr>
          <w:b/>
        </w:rPr>
        <w:t xml:space="preserve"> and 7-6-154</w:t>
      </w:r>
      <w:r w:rsidR="00583FEB" w:rsidRPr="007717F0">
        <w:rPr>
          <w:b/>
        </w:rPr>
        <w:t>7</w:t>
      </w:r>
      <w:r w:rsidRPr="007717F0">
        <w:rPr>
          <w:b/>
        </w:rPr>
        <w:t xml:space="preserve">, MCA, BE IT ORDAINED BY THE BOARD </w:t>
      </w:r>
      <w:r w:rsidR="00583FEB" w:rsidRPr="007717F0">
        <w:rPr>
          <w:b/>
        </w:rPr>
        <w:t xml:space="preserve">OF DIRECTORS OF THE BIG SKY RESORT AREA DISTRICT </w:t>
      </w:r>
      <w:r w:rsidRPr="007717F0">
        <w:rPr>
          <w:b/>
        </w:rPr>
        <w:t>TO ADOPT ORDINANCE NO. 2014-02 AS FOLLOWS:</w:t>
      </w:r>
    </w:p>
    <w:p w:rsidR="00CE3836" w:rsidRPr="007717F0" w:rsidRDefault="00CE3836" w:rsidP="00003725">
      <w:pPr>
        <w:pStyle w:val="NoSpacing"/>
        <w:rPr>
          <w:b/>
        </w:rPr>
      </w:pPr>
    </w:p>
    <w:p w:rsidR="00CE3836" w:rsidRDefault="00CE3836" w:rsidP="00003725">
      <w:pPr>
        <w:pStyle w:val="NoSpacing"/>
      </w:pPr>
      <w:r>
        <w:t>Section 1. Definitions.  For purposes of this Ordinance, the following definitions apply:</w:t>
      </w:r>
    </w:p>
    <w:p w:rsidR="003E16EC" w:rsidRDefault="00CE3836" w:rsidP="003E16EC">
      <w:pPr>
        <w:pStyle w:val="NoSpacing"/>
        <w:numPr>
          <w:ilvl w:val="0"/>
          <w:numId w:val="1"/>
        </w:numPr>
      </w:pPr>
      <w:r>
        <w:t xml:space="preserve"> “Board” means the Board of Directors of the District </w:t>
      </w:r>
      <w:r w:rsidR="00AA0633">
        <w:t xml:space="preserve">created under §7-6-1531 through 7-6-1550, MCA.  </w:t>
      </w:r>
    </w:p>
    <w:p w:rsidR="006C76CA" w:rsidRDefault="006C76CA" w:rsidP="003E16EC">
      <w:pPr>
        <w:pStyle w:val="NoSpacing"/>
        <w:numPr>
          <w:ilvl w:val="0"/>
          <w:numId w:val="1"/>
        </w:numPr>
      </w:pPr>
      <w:r>
        <w:t>“Debt capacity” means the limitations imposed on the Board when issuing bonds as set forth in §7-6-1542(4), MCA.</w:t>
      </w:r>
    </w:p>
    <w:p w:rsidR="00102FF6" w:rsidRDefault="00F9493D" w:rsidP="00CE3836">
      <w:pPr>
        <w:pStyle w:val="NoSpacing"/>
        <w:numPr>
          <w:ilvl w:val="0"/>
          <w:numId w:val="1"/>
        </w:numPr>
      </w:pPr>
      <w:r>
        <w:t xml:space="preserve"> </w:t>
      </w:r>
      <w:r w:rsidR="00102FF6">
        <w:t>“District”</w:t>
      </w:r>
      <w:r w:rsidR="00F45E0B">
        <w:t xml:space="preserve"> means the Big Sky R</w:t>
      </w:r>
      <w:r w:rsidR="00102FF6">
        <w:t>esort Area District created under §7-6-1531 through 15</w:t>
      </w:r>
      <w:r w:rsidR="003E16EC">
        <w:t>40</w:t>
      </w:r>
      <w:r w:rsidR="000D27D7">
        <w:t>, MCA</w:t>
      </w:r>
      <w:r w:rsidR="00102FF6">
        <w:t>, that has been established as a resort area under §7-6-1508, MCA.</w:t>
      </w:r>
    </w:p>
    <w:p w:rsidR="00F9493D" w:rsidRDefault="00F9493D" w:rsidP="00CE3836">
      <w:pPr>
        <w:pStyle w:val="NoSpacing"/>
        <w:numPr>
          <w:ilvl w:val="0"/>
          <w:numId w:val="1"/>
        </w:numPr>
      </w:pPr>
      <w:r>
        <w:t xml:space="preserve"> </w:t>
      </w:r>
      <w:r w:rsidR="00F06396">
        <w:t>“Project Applicant”</w:t>
      </w:r>
      <w:r w:rsidR="00D005A0">
        <w:t xml:space="preserve"> means a</w:t>
      </w:r>
      <w:r w:rsidR="00236239">
        <w:t xml:space="preserve">n </w:t>
      </w:r>
      <w:r>
        <w:t>entity located within the</w:t>
      </w:r>
      <w:r w:rsidR="00972FCB">
        <w:t xml:space="preserve"> </w:t>
      </w:r>
      <w:r w:rsidR="006C76CA">
        <w:t>District</w:t>
      </w:r>
      <w:r w:rsidR="00F90E94">
        <w:t xml:space="preserve"> that</w:t>
      </w:r>
      <w:r w:rsidR="003A4E24">
        <w:t xml:space="preserve"> w</w:t>
      </w:r>
      <w:r w:rsidR="00FB19DD">
        <w:t>ould otherwise</w:t>
      </w:r>
      <w:r w:rsidR="003A4E24">
        <w:t xml:space="preserve"> qualify for </w:t>
      </w:r>
      <w:r w:rsidR="00D005A0">
        <w:t>an appropriation from the Board</w:t>
      </w:r>
      <w:r w:rsidR="00236239">
        <w:t xml:space="preserve"> as described in Ordinance No. 98-01.</w:t>
      </w:r>
    </w:p>
    <w:p w:rsidR="006C76CA" w:rsidRDefault="00F9493D" w:rsidP="006C76CA">
      <w:pPr>
        <w:pStyle w:val="NoSpacing"/>
        <w:numPr>
          <w:ilvl w:val="0"/>
          <w:numId w:val="1"/>
        </w:numPr>
      </w:pPr>
      <w:r>
        <w:t xml:space="preserve"> </w:t>
      </w:r>
      <w:r w:rsidR="007931B7">
        <w:t>“Qualifying project” means a project to provide</w:t>
      </w:r>
      <w:r w:rsidR="00230AE1">
        <w:t xml:space="preserve"> for</w:t>
      </w:r>
      <w:r w:rsidR="007931B7">
        <w:t>, install, or construct any public facilit</w:t>
      </w:r>
      <w:r>
        <w:t>y</w:t>
      </w:r>
      <w:r w:rsidR="007931B7">
        <w:t xml:space="preserve">, improvement, or capital project that the District is authorized </w:t>
      </w:r>
      <w:r w:rsidR="00F45E0B">
        <w:t xml:space="preserve">under law </w:t>
      </w:r>
      <w:r w:rsidR="007931B7">
        <w:t xml:space="preserve">to </w:t>
      </w:r>
      <w:r w:rsidR="006C76CA">
        <w:t>fund</w:t>
      </w:r>
      <w:r w:rsidR="00F45E0B">
        <w:t>.</w:t>
      </w:r>
      <w:r w:rsidR="007931B7">
        <w:t xml:space="preserve"> </w:t>
      </w:r>
    </w:p>
    <w:p w:rsidR="007D680E" w:rsidRDefault="007D680E" w:rsidP="007D680E">
      <w:pPr>
        <w:pStyle w:val="NoSpacing"/>
      </w:pPr>
    </w:p>
    <w:p w:rsidR="00D5509A" w:rsidRDefault="007D680E" w:rsidP="007D680E">
      <w:pPr>
        <w:pStyle w:val="NoSpacing"/>
      </w:pPr>
      <w:proofErr w:type="gramStart"/>
      <w:r>
        <w:t>Section 2</w:t>
      </w:r>
      <w:r w:rsidR="00D5509A">
        <w:t>.</w:t>
      </w:r>
      <w:proofErr w:type="gramEnd"/>
      <w:r w:rsidR="00D5509A">
        <w:t xml:space="preserve">  </w:t>
      </w:r>
      <w:r w:rsidR="00970CF0">
        <w:t xml:space="preserve">  </w:t>
      </w:r>
      <w:proofErr w:type="gramStart"/>
      <w:r w:rsidR="00D5509A">
        <w:t>Application</w:t>
      </w:r>
      <w:r>
        <w:t xml:space="preserve"> for Pledge of Bond Proceeds</w:t>
      </w:r>
      <w:r w:rsidR="00FE618B">
        <w:t>.</w:t>
      </w:r>
      <w:proofErr w:type="gramEnd"/>
    </w:p>
    <w:p w:rsidR="007D680E" w:rsidRDefault="00D5509A" w:rsidP="007D680E">
      <w:pPr>
        <w:pStyle w:val="NoSpacing"/>
        <w:numPr>
          <w:ilvl w:val="0"/>
          <w:numId w:val="4"/>
        </w:numPr>
      </w:pPr>
      <w:r>
        <w:t xml:space="preserve"> A project applicant may request a pledge of bond proceeds after completing an application prepared by the Board.</w:t>
      </w:r>
    </w:p>
    <w:p w:rsidR="007D680E" w:rsidRDefault="007D680E" w:rsidP="007D680E">
      <w:pPr>
        <w:pStyle w:val="NoSpacing"/>
        <w:numPr>
          <w:ilvl w:val="0"/>
          <w:numId w:val="4"/>
        </w:numPr>
      </w:pPr>
      <w:r>
        <w:t xml:space="preserve"> The application, at a minimum, will request the following information from </w:t>
      </w:r>
      <w:r w:rsidR="00D5509A">
        <w:t>a</w:t>
      </w:r>
      <w:r>
        <w:t xml:space="preserve"> </w:t>
      </w:r>
      <w:r w:rsidR="00D5509A">
        <w:t>project a</w:t>
      </w:r>
      <w:r>
        <w:t>pplicant:</w:t>
      </w:r>
    </w:p>
    <w:p w:rsidR="007D680E" w:rsidRDefault="007D680E" w:rsidP="007D680E">
      <w:pPr>
        <w:pStyle w:val="NoSpacing"/>
        <w:numPr>
          <w:ilvl w:val="0"/>
          <w:numId w:val="14"/>
        </w:numPr>
      </w:pPr>
      <w:r>
        <w:t>name and address of the project applicant;</w:t>
      </w:r>
    </w:p>
    <w:p w:rsidR="007D680E" w:rsidRDefault="007D680E" w:rsidP="007D680E">
      <w:pPr>
        <w:pStyle w:val="NoSpacing"/>
        <w:numPr>
          <w:ilvl w:val="0"/>
          <w:numId w:val="14"/>
        </w:numPr>
      </w:pPr>
      <w:r>
        <w:t>designated contact person and contact information for project applicant;</w:t>
      </w:r>
    </w:p>
    <w:p w:rsidR="007D680E" w:rsidRDefault="007D680E" w:rsidP="007D680E">
      <w:pPr>
        <w:pStyle w:val="NoSpacing"/>
        <w:ind w:left="720"/>
      </w:pPr>
      <w:r>
        <w:tab/>
        <w:t xml:space="preserve">(c)   </w:t>
      </w:r>
      <w:proofErr w:type="gramStart"/>
      <w:r w:rsidR="00D5509A">
        <w:t>a</w:t>
      </w:r>
      <w:proofErr w:type="gramEnd"/>
      <w:r w:rsidR="00D5509A">
        <w:t xml:space="preserve"> </w:t>
      </w:r>
      <w:r>
        <w:t>description of the qualifying project;</w:t>
      </w:r>
    </w:p>
    <w:p w:rsidR="007D680E" w:rsidRDefault="007D680E" w:rsidP="007D680E">
      <w:pPr>
        <w:pStyle w:val="NoSpacing"/>
        <w:ind w:left="720"/>
      </w:pPr>
      <w:r>
        <w:tab/>
        <w:t xml:space="preserve">(d)  </w:t>
      </w:r>
      <w:proofErr w:type="gramStart"/>
      <w:r w:rsidR="00D5509A">
        <w:t>the</w:t>
      </w:r>
      <w:proofErr w:type="gramEnd"/>
      <w:r w:rsidR="00D5509A">
        <w:t xml:space="preserve"> </w:t>
      </w:r>
      <w:r>
        <w:t xml:space="preserve">total cost of the qualifying project; </w:t>
      </w:r>
    </w:p>
    <w:p w:rsidR="007D680E" w:rsidRDefault="007D680E" w:rsidP="007D680E">
      <w:pPr>
        <w:pStyle w:val="NoSpacing"/>
        <w:ind w:left="720"/>
      </w:pPr>
      <w:r>
        <w:tab/>
        <w:t xml:space="preserve">(e)   </w:t>
      </w:r>
      <w:proofErr w:type="gramStart"/>
      <w:r>
        <w:t>timeline</w:t>
      </w:r>
      <w:proofErr w:type="gramEnd"/>
      <w:r>
        <w:t xml:space="preserve"> for construction of the qualifying project including the projected date of </w:t>
      </w:r>
      <w:r>
        <w:tab/>
        <w:t xml:space="preserve">  </w:t>
      </w:r>
      <w:r>
        <w:tab/>
        <w:t xml:space="preserve">       commencement and date of completion.</w:t>
      </w:r>
    </w:p>
    <w:p w:rsidR="007D680E" w:rsidRDefault="007D680E" w:rsidP="007D680E">
      <w:pPr>
        <w:pStyle w:val="NoSpacing"/>
        <w:ind w:left="720"/>
      </w:pPr>
      <w:r>
        <w:tab/>
        <w:t xml:space="preserve">(f)  </w:t>
      </w:r>
      <w:proofErr w:type="gramStart"/>
      <w:r>
        <w:t>other</w:t>
      </w:r>
      <w:proofErr w:type="gramEnd"/>
      <w:r>
        <w:t xml:space="preserve"> information deemed necessary by the Board.</w:t>
      </w:r>
    </w:p>
    <w:p w:rsidR="007D680E" w:rsidRDefault="007D680E" w:rsidP="007D680E">
      <w:pPr>
        <w:pStyle w:val="NoSpacing"/>
        <w:ind w:left="720"/>
      </w:pPr>
      <w:r>
        <w:t>(2)   The application must also demonstrate compliance with the requirements of section (</w:t>
      </w:r>
      <w:r w:rsidR="005B66FE">
        <w:t>4</w:t>
      </w:r>
      <w:r>
        <w:t xml:space="preserve">)  </w:t>
      </w:r>
    </w:p>
    <w:p w:rsidR="007D680E" w:rsidRDefault="007D680E" w:rsidP="007D680E">
      <w:pPr>
        <w:pStyle w:val="NoSpacing"/>
        <w:ind w:left="720"/>
      </w:pPr>
      <w:r>
        <w:t xml:space="preserve">        </w:t>
      </w:r>
      <w:proofErr w:type="gramStart"/>
      <w:r w:rsidR="005B66FE">
        <w:t>below</w:t>
      </w:r>
      <w:proofErr w:type="gramEnd"/>
      <w:r>
        <w:t xml:space="preserve">.  </w:t>
      </w:r>
    </w:p>
    <w:p w:rsidR="007D680E" w:rsidRDefault="007D680E" w:rsidP="007D680E">
      <w:pPr>
        <w:pStyle w:val="NoSpacing"/>
        <w:ind w:left="720"/>
      </w:pPr>
    </w:p>
    <w:p w:rsidR="00CF057B" w:rsidRDefault="007D680E" w:rsidP="00897D40">
      <w:pPr>
        <w:pStyle w:val="NoSpacing"/>
      </w:pPr>
      <w:proofErr w:type="gramStart"/>
      <w:r>
        <w:t>Section 3</w:t>
      </w:r>
      <w:r w:rsidR="00022C3A">
        <w:t>.</w:t>
      </w:r>
      <w:proofErr w:type="gramEnd"/>
      <w:r w:rsidR="00022C3A">
        <w:t xml:space="preserve"> </w:t>
      </w:r>
      <w:r w:rsidR="00CF057B">
        <w:t xml:space="preserve"> </w:t>
      </w:r>
      <w:r w:rsidR="00970CF0">
        <w:t xml:space="preserve">  </w:t>
      </w:r>
      <w:proofErr w:type="gramStart"/>
      <w:r w:rsidR="00CF057B">
        <w:t xml:space="preserve">Public </w:t>
      </w:r>
      <w:r w:rsidR="00E1403F">
        <w:t xml:space="preserve">Notice for </w:t>
      </w:r>
      <w:r w:rsidR="008127A4">
        <w:t>Call</w:t>
      </w:r>
      <w:r w:rsidR="00E1403F">
        <w:t xml:space="preserve"> of Applications</w:t>
      </w:r>
      <w:r w:rsidR="00E802D3">
        <w:t xml:space="preserve"> for Pledge of Bond Proceeds</w:t>
      </w:r>
      <w:r w:rsidR="00FE618B">
        <w:t>.</w:t>
      </w:r>
      <w:proofErr w:type="gramEnd"/>
    </w:p>
    <w:p w:rsidR="00CF057B" w:rsidRDefault="00CF057B" w:rsidP="00CF057B">
      <w:pPr>
        <w:pStyle w:val="NoSpacing"/>
        <w:numPr>
          <w:ilvl w:val="0"/>
          <w:numId w:val="2"/>
        </w:numPr>
      </w:pPr>
      <w:r>
        <w:t xml:space="preserve"> If the Board determines that it has available debt capacity and</w:t>
      </w:r>
      <w:r w:rsidR="008127A4">
        <w:t xml:space="preserve"> </w:t>
      </w:r>
      <w:r>
        <w:t>decides to call for applications for a pledge of bond proceeds</w:t>
      </w:r>
      <w:r w:rsidR="0053597F">
        <w:t xml:space="preserve"> for a qualifying project</w:t>
      </w:r>
      <w:r>
        <w:t>, it must publish a “Notice for Call of Applications for Pledge of Bond Proceeds</w:t>
      </w:r>
      <w:r w:rsidR="001025DA">
        <w:t>”</w:t>
      </w:r>
      <w:r>
        <w:t xml:space="preserve"> (“Notice”) on its web site and in a newspaper of general circulation.</w:t>
      </w:r>
    </w:p>
    <w:p w:rsidR="00A2223F" w:rsidRDefault="00A2223F" w:rsidP="00F057A3">
      <w:pPr>
        <w:pStyle w:val="NoSpacing"/>
        <w:numPr>
          <w:ilvl w:val="0"/>
          <w:numId w:val="2"/>
        </w:numPr>
      </w:pPr>
      <w:r>
        <w:t xml:space="preserve">The newspaper of general circulation must be </w:t>
      </w:r>
      <w:r w:rsidR="001201AF">
        <w:t xml:space="preserve">published at least </w:t>
      </w:r>
      <w:r w:rsidR="007E4AD5">
        <w:t>bi</w:t>
      </w:r>
      <w:r w:rsidR="001201AF">
        <w:t>weekly.</w:t>
      </w:r>
    </w:p>
    <w:p w:rsidR="00F057A3" w:rsidRDefault="00A2223F" w:rsidP="00F057A3">
      <w:pPr>
        <w:pStyle w:val="NoSpacing"/>
        <w:numPr>
          <w:ilvl w:val="0"/>
          <w:numId w:val="2"/>
        </w:numPr>
      </w:pPr>
      <w:r>
        <w:t>The Notice must be published at least two (2) times separated by</w:t>
      </w:r>
      <w:r w:rsidR="007160A6">
        <w:t xml:space="preserve"> at least</w:t>
      </w:r>
      <w:r>
        <w:t xml:space="preserve"> seven (7) days.</w:t>
      </w:r>
      <w:r w:rsidR="001201AF">
        <w:t xml:space="preserve">  </w:t>
      </w:r>
    </w:p>
    <w:p w:rsidR="00F057A3" w:rsidRDefault="00F057A3" w:rsidP="001201AF">
      <w:pPr>
        <w:pStyle w:val="NoSpacing"/>
        <w:numPr>
          <w:ilvl w:val="0"/>
          <w:numId w:val="2"/>
        </w:numPr>
      </w:pPr>
      <w:r>
        <w:t xml:space="preserve"> The Board shall provide a date certain </w:t>
      </w:r>
      <w:r w:rsidR="000F1794">
        <w:t xml:space="preserve">in the Notice </w:t>
      </w:r>
      <w:r>
        <w:t>by which all Applications must be delivered to the District at its office or mailed and postmarked no later than the date certain provided.</w:t>
      </w:r>
    </w:p>
    <w:p w:rsidR="00F057A3" w:rsidRDefault="00C64FD1" w:rsidP="00C64FD1">
      <w:pPr>
        <w:pStyle w:val="NoSpacing"/>
        <w:numPr>
          <w:ilvl w:val="0"/>
          <w:numId w:val="2"/>
        </w:numPr>
      </w:pPr>
      <w:r>
        <w:lastRenderedPageBreak/>
        <w:t xml:space="preserve"> The Notice </w:t>
      </w:r>
      <w:r w:rsidR="00511A7C">
        <w:t xml:space="preserve">must </w:t>
      </w:r>
      <w:r>
        <w:t xml:space="preserve">contain the District’s </w:t>
      </w:r>
      <w:r w:rsidR="00511A7C">
        <w:t xml:space="preserve">current </w:t>
      </w:r>
      <w:r>
        <w:t>debt capacity available to fund</w:t>
      </w:r>
      <w:r w:rsidR="00CF057B">
        <w:t xml:space="preserve"> a </w:t>
      </w:r>
      <w:r>
        <w:t>qualifying project</w:t>
      </w:r>
      <w:r w:rsidR="00CF057B">
        <w:t>(s)</w:t>
      </w:r>
      <w:r>
        <w:t>.</w:t>
      </w:r>
    </w:p>
    <w:p w:rsidR="00C64FD1" w:rsidRDefault="00C64FD1" w:rsidP="00F057A3">
      <w:pPr>
        <w:pStyle w:val="NoSpacing"/>
      </w:pPr>
    </w:p>
    <w:p w:rsidR="00230AE1" w:rsidRDefault="008A12A2" w:rsidP="00F057A3">
      <w:pPr>
        <w:pStyle w:val="NoSpacing"/>
      </w:pPr>
      <w:proofErr w:type="gramStart"/>
      <w:r>
        <w:t xml:space="preserve">Section </w:t>
      </w:r>
      <w:r w:rsidR="007D680E">
        <w:t>4</w:t>
      </w:r>
      <w:r>
        <w:t>.</w:t>
      </w:r>
      <w:proofErr w:type="gramEnd"/>
      <w:r>
        <w:t xml:space="preserve">  </w:t>
      </w:r>
      <w:r w:rsidR="00970CF0">
        <w:t xml:space="preserve"> </w:t>
      </w:r>
      <w:proofErr w:type="gramStart"/>
      <w:r>
        <w:t xml:space="preserve">Qualifying Project </w:t>
      </w:r>
      <w:r w:rsidR="00FE618B">
        <w:t>–</w:t>
      </w:r>
      <w:r w:rsidR="00FC65E7">
        <w:t xml:space="preserve"> </w:t>
      </w:r>
      <w:r>
        <w:t>Requirements</w:t>
      </w:r>
      <w:r w:rsidR="00FE618B">
        <w:t>.</w:t>
      </w:r>
      <w:proofErr w:type="gramEnd"/>
    </w:p>
    <w:p w:rsidR="00230AE1" w:rsidRDefault="00230AE1" w:rsidP="00FC65E7">
      <w:pPr>
        <w:pStyle w:val="NoSpacing"/>
        <w:numPr>
          <w:ilvl w:val="0"/>
          <w:numId w:val="7"/>
        </w:numPr>
      </w:pPr>
      <w:r>
        <w:t>The request for a pledge of bond proceeds may not exceed the</w:t>
      </w:r>
      <w:r w:rsidR="00FC65E7">
        <w:t xml:space="preserve"> District’s available</w:t>
      </w:r>
      <w:r>
        <w:t xml:space="preserve"> </w:t>
      </w:r>
      <w:r w:rsidR="00043861">
        <w:t>debt capacity</w:t>
      </w:r>
      <w:r w:rsidR="00FC65E7">
        <w:t xml:space="preserve"> </w:t>
      </w:r>
      <w:r>
        <w:t>as established under §7-6-1542(4), MCA.</w:t>
      </w:r>
    </w:p>
    <w:p w:rsidR="00230AE1" w:rsidRDefault="00230AE1" w:rsidP="00230AE1">
      <w:pPr>
        <w:pStyle w:val="NoSpacing"/>
        <w:numPr>
          <w:ilvl w:val="0"/>
          <w:numId w:val="7"/>
        </w:numPr>
      </w:pPr>
      <w:r>
        <w:t xml:space="preserve"> The request for a pledge of bond proceeds may not require a debt service payment schedule extending beyond the remaining duration of the District</w:t>
      </w:r>
      <w:r w:rsidR="00D75ACE">
        <w:t xml:space="preserve"> as required by §7-6-1542(4), MCA.</w:t>
      </w:r>
    </w:p>
    <w:p w:rsidR="008A12A2" w:rsidRDefault="00230AE1" w:rsidP="00230AE1">
      <w:pPr>
        <w:pStyle w:val="NoSpacing"/>
        <w:numPr>
          <w:ilvl w:val="0"/>
          <w:numId w:val="7"/>
        </w:numPr>
      </w:pPr>
      <w:r>
        <w:t xml:space="preserve"> The project applicant must demonstrate that the projected useful life of the qualifying project will be greater than the term of the bonds that are issued to provide for, install, or construct the qualifying project.</w:t>
      </w:r>
    </w:p>
    <w:p w:rsidR="008A12A2" w:rsidRDefault="008A12A2" w:rsidP="00F057A3">
      <w:pPr>
        <w:pStyle w:val="NoSpacing"/>
      </w:pPr>
    </w:p>
    <w:p w:rsidR="00F102AF" w:rsidRDefault="007F40D8" w:rsidP="00FE618B">
      <w:pPr>
        <w:pStyle w:val="NoSpacing"/>
      </w:pPr>
      <w:proofErr w:type="gramStart"/>
      <w:r>
        <w:t>Section 5.</w:t>
      </w:r>
      <w:proofErr w:type="gramEnd"/>
      <w:r>
        <w:t xml:space="preserve">  </w:t>
      </w:r>
      <w:r w:rsidR="00970CF0">
        <w:t xml:space="preserve"> </w:t>
      </w:r>
      <w:r w:rsidR="00741DD6">
        <w:t>Approval Requirements</w:t>
      </w:r>
      <w:r w:rsidR="0059302B">
        <w:t xml:space="preserve"> </w:t>
      </w:r>
      <w:r w:rsidR="00FE4EC5">
        <w:t>- Public Hearing on Applications-Election</w:t>
      </w:r>
      <w:r w:rsidR="00FE618B">
        <w:t>.</w:t>
      </w:r>
    </w:p>
    <w:p w:rsidR="00F82E2D" w:rsidRDefault="00F82E2D" w:rsidP="00F102AF">
      <w:pPr>
        <w:pStyle w:val="NoSpacing"/>
        <w:numPr>
          <w:ilvl w:val="0"/>
          <w:numId w:val="11"/>
        </w:numPr>
        <w:ind w:left="720"/>
      </w:pPr>
      <w:r>
        <w:t>The District may issue bonds to construct a qualifying project in an amount less than</w:t>
      </w:r>
      <w:r w:rsidR="00A96CDA">
        <w:t xml:space="preserve"> </w:t>
      </w:r>
      <w:r w:rsidR="00F102AF">
        <w:t>$</w:t>
      </w:r>
      <w:r>
        <w:t>500,000.00 only after holding a public hearing as required in (2</w:t>
      </w:r>
      <w:r w:rsidR="000D27D7">
        <w:t>) (</w:t>
      </w:r>
      <w:r>
        <w:t>a) below and approval of</w:t>
      </w:r>
      <w:r w:rsidR="00A96CDA">
        <w:t xml:space="preserve"> </w:t>
      </w:r>
      <w:r>
        <w:t>the qualifying project</w:t>
      </w:r>
      <w:r w:rsidR="00A96CDA">
        <w:t xml:space="preserve"> </w:t>
      </w:r>
      <w:r>
        <w:t>by four of the five Board members.</w:t>
      </w:r>
    </w:p>
    <w:p w:rsidR="00741DD6" w:rsidRDefault="00741DD6" w:rsidP="00F102AF">
      <w:pPr>
        <w:pStyle w:val="NoSpacing"/>
        <w:numPr>
          <w:ilvl w:val="0"/>
          <w:numId w:val="11"/>
        </w:numPr>
        <w:ind w:left="720"/>
      </w:pPr>
      <w:r>
        <w:t xml:space="preserve">The District may issue bonds to construct a </w:t>
      </w:r>
      <w:r w:rsidR="00E077DA">
        <w:t xml:space="preserve">qualifying </w:t>
      </w:r>
      <w:r>
        <w:t>project</w:t>
      </w:r>
      <w:r w:rsidR="00A96CDA">
        <w:t xml:space="preserve"> </w:t>
      </w:r>
      <w:r>
        <w:t xml:space="preserve">in an amount exceeding $500,000.00 </w:t>
      </w:r>
      <w:r w:rsidR="00496EB8">
        <w:t>only:</w:t>
      </w:r>
    </w:p>
    <w:p w:rsidR="00496EB8" w:rsidRDefault="00496EB8" w:rsidP="00496EB8">
      <w:pPr>
        <w:pStyle w:val="NoSpacing"/>
        <w:ind w:left="720"/>
      </w:pPr>
      <w:r>
        <w:t xml:space="preserve">             (a) </w:t>
      </w:r>
      <w:r w:rsidR="00A32A28">
        <w:t xml:space="preserve"> </w:t>
      </w:r>
      <w:proofErr w:type="gramStart"/>
      <w:r>
        <w:t>after</w:t>
      </w:r>
      <w:proofErr w:type="gramEnd"/>
      <w:r w:rsidR="00E077DA">
        <w:t xml:space="preserve"> holding</w:t>
      </w:r>
      <w:r>
        <w:t xml:space="preserve"> a public hearing on all applications for a pledge of bond proceeds; </w:t>
      </w:r>
    </w:p>
    <w:p w:rsidR="00741DD6" w:rsidRDefault="00496EB8" w:rsidP="00741DD6">
      <w:pPr>
        <w:pStyle w:val="NoSpacing"/>
        <w:ind w:left="720"/>
      </w:pPr>
      <w:r>
        <w:t xml:space="preserve">             (b</w:t>
      </w:r>
      <w:r w:rsidR="00741DD6">
        <w:t xml:space="preserve">) </w:t>
      </w:r>
      <w:r w:rsidR="00A32A28">
        <w:t xml:space="preserve"> </w:t>
      </w:r>
      <w:proofErr w:type="gramStart"/>
      <w:r w:rsidR="00741DD6">
        <w:t>after</w:t>
      </w:r>
      <w:proofErr w:type="gramEnd"/>
      <w:r w:rsidR="00741DD6">
        <w:t xml:space="preserve"> approval</w:t>
      </w:r>
      <w:r w:rsidR="00E077DA">
        <w:t xml:space="preserve"> of</w:t>
      </w:r>
      <w:r w:rsidR="00DA7280">
        <w:t xml:space="preserve"> a</w:t>
      </w:r>
      <w:r w:rsidR="00741DD6">
        <w:t xml:space="preserve"> qualifying project</w:t>
      </w:r>
      <w:r w:rsidR="00A96CDA">
        <w:t xml:space="preserve"> </w:t>
      </w:r>
      <w:r w:rsidR="00741DD6">
        <w:t xml:space="preserve">by a majority vote of the </w:t>
      </w:r>
      <w:r w:rsidR="00A96CDA">
        <w:tab/>
        <w:t xml:space="preserve">  </w:t>
      </w:r>
      <w:r w:rsidR="00A96CDA">
        <w:tab/>
        <w:t xml:space="preserve">      </w:t>
      </w:r>
      <w:r w:rsidR="0042462E">
        <w:tab/>
        <w:t xml:space="preserve"> </w:t>
      </w:r>
      <w:r w:rsidR="0042462E">
        <w:tab/>
        <w:t xml:space="preserve">      </w:t>
      </w:r>
      <w:r w:rsidR="00741DD6">
        <w:t>Board;</w:t>
      </w:r>
      <w:r w:rsidR="00E077DA">
        <w:t xml:space="preserve"> </w:t>
      </w:r>
    </w:p>
    <w:p w:rsidR="00741DD6" w:rsidRDefault="00496EB8" w:rsidP="00741DD6">
      <w:pPr>
        <w:pStyle w:val="NoSpacing"/>
        <w:ind w:left="720"/>
      </w:pPr>
      <w:r>
        <w:t xml:space="preserve">             </w:t>
      </w:r>
      <w:r w:rsidR="00741DD6">
        <w:t xml:space="preserve">(c) </w:t>
      </w:r>
      <w:r w:rsidR="00A32A28">
        <w:t xml:space="preserve"> </w:t>
      </w:r>
      <w:r w:rsidR="00741DD6">
        <w:t>after approval of a majority of the qualified electors</w:t>
      </w:r>
      <w:r w:rsidR="00135AE2">
        <w:t xml:space="preserve"> </w:t>
      </w:r>
      <w:r w:rsidR="000B126E">
        <w:t xml:space="preserve">voting at a special or other </w:t>
      </w:r>
      <w:r w:rsidR="000B126E">
        <w:tab/>
      </w:r>
      <w:r w:rsidR="00565F0A">
        <w:t xml:space="preserve"> </w:t>
      </w:r>
      <w:r w:rsidR="00565F0A">
        <w:tab/>
        <w:t xml:space="preserve">     </w:t>
      </w:r>
      <w:r w:rsidR="000B126E">
        <w:t xml:space="preserve">election as authorized by law and who </w:t>
      </w:r>
      <w:r w:rsidR="00135AE2">
        <w:t>reside</w:t>
      </w:r>
      <w:r w:rsidR="00741DD6">
        <w:t xml:space="preserve"> with</w:t>
      </w:r>
      <w:r w:rsidR="000B126E">
        <w:t>in the District;</w:t>
      </w:r>
      <w:r w:rsidR="007518FC">
        <w:t xml:space="preserve"> </w:t>
      </w:r>
      <w:r w:rsidR="002D5830">
        <w:t>and</w:t>
      </w:r>
    </w:p>
    <w:p w:rsidR="000F17CA" w:rsidRDefault="00561064" w:rsidP="00741DD6">
      <w:pPr>
        <w:pStyle w:val="NoSpacing"/>
        <w:ind w:left="720"/>
      </w:pPr>
      <w:r>
        <w:t xml:space="preserve">           </w:t>
      </w:r>
      <w:r w:rsidR="000C6866">
        <w:t xml:space="preserve"> </w:t>
      </w:r>
      <w:r>
        <w:t xml:space="preserve"> </w:t>
      </w:r>
      <w:r w:rsidR="007518FC">
        <w:t xml:space="preserve">(d) </w:t>
      </w:r>
      <w:r w:rsidR="00A32A28">
        <w:t xml:space="preserve"> </w:t>
      </w:r>
      <w:proofErr w:type="gramStart"/>
      <w:r>
        <w:t>the</w:t>
      </w:r>
      <w:proofErr w:type="gramEnd"/>
      <w:r>
        <w:t xml:space="preserve"> Board</w:t>
      </w:r>
      <w:r w:rsidR="007518FC">
        <w:t xml:space="preserve"> concludes that the projected l</w:t>
      </w:r>
      <w:r>
        <w:t>ife of the qualifying project</w:t>
      </w:r>
      <w:r w:rsidR="00A96CDA">
        <w:t xml:space="preserve"> </w:t>
      </w:r>
      <w:r>
        <w:t xml:space="preserve">will be greater </w:t>
      </w:r>
      <w:r w:rsidR="00A96CDA">
        <w:tab/>
        <w:t xml:space="preserve">    </w:t>
      </w:r>
      <w:r w:rsidR="00A96CDA">
        <w:tab/>
        <w:t xml:space="preserve">     </w:t>
      </w:r>
      <w:r>
        <w:t xml:space="preserve">than the term of the bonds that were requested to construct </w:t>
      </w:r>
      <w:r w:rsidR="00A96CDA">
        <w:tab/>
      </w:r>
      <w:r>
        <w:t>the qualifying project.</w:t>
      </w:r>
    </w:p>
    <w:p w:rsidR="00561064" w:rsidRDefault="002544F0" w:rsidP="00FE618B">
      <w:pPr>
        <w:pStyle w:val="NoSpacing"/>
      </w:pPr>
      <w:proofErr w:type="gramStart"/>
      <w:r>
        <w:t>Section 6.</w:t>
      </w:r>
      <w:proofErr w:type="gramEnd"/>
      <w:r>
        <w:t xml:space="preserve">  Board Resolution</w:t>
      </w:r>
      <w:r w:rsidR="0059302B">
        <w:t xml:space="preserve"> </w:t>
      </w:r>
      <w:r w:rsidR="00FE618B">
        <w:t>- Contents.</w:t>
      </w:r>
    </w:p>
    <w:p w:rsidR="007911FA" w:rsidRDefault="00D63037" w:rsidP="00D63037">
      <w:pPr>
        <w:pStyle w:val="NoSpacing"/>
        <w:ind w:left="1152" w:hanging="432"/>
      </w:pPr>
      <w:r>
        <w:t xml:space="preserve">(1)    </w:t>
      </w:r>
      <w:r w:rsidR="007911FA">
        <w:t>Bonds issued for a qualifying project must be authoriz</w:t>
      </w:r>
      <w:r w:rsidR="00DF1BCB">
        <w:t>ed by a Resolution of the Board</w:t>
      </w:r>
      <w:r>
        <w:t xml:space="preserve"> which </w:t>
      </w:r>
      <w:r w:rsidR="002544F0">
        <w:t xml:space="preserve">states </w:t>
      </w:r>
      <w:r w:rsidR="007911FA">
        <w:t xml:space="preserve">the terms, conditions, and covenants </w:t>
      </w:r>
      <w:r w:rsidR="00B04E60">
        <w:t xml:space="preserve">that </w:t>
      </w:r>
      <w:r w:rsidR="007911FA">
        <w:t xml:space="preserve">the </w:t>
      </w:r>
      <w:r w:rsidR="00DF1BCB">
        <w:t xml:space="preserve">Board considers </w:t>
      </w:r>
      <w:r w:rsidR="007911FA">
        <w:t>appropriate</w:t>
      </w:r>
      <w:r>
        <w:t xml:space="preserve"> </w:t>
      </w:r>
      <w:r w:rsidR="00BE0A2E">
        <w:t>as required by §7-6-150</w:t>
      </w:r>
      <w:r w:rsidR="00F07A93">
        <w:t>6(3)</w:t>
      </w:r>
      <w:r w:rsidR="007911FA">
        <w:t xml:space="preserve">.  </w:t>
      </w:r>
    </w:p>
    <w:p w:rsidR="00DF1BCB" w:rsidRDefault="00D63037" w:rsidP="00D63037">
      <w:pPr>
        <w:pStyle w:val="NoSpacing"/>
        <w:ind w:left="720"/>
      </w:pPr>
      <w:r>
        <w:t xml:space="preserve">(2)   </w:t>
      </w:r>
      <w:r w:rsidR="007911FA">
        <w:t xml:space="preserve">The Board must </w:t>
      </w:r>
      <w:r w:rsidR="00F07A93">
        <w:t xml:space="preserve">also </w:t>
      </w:r>
      <w:r w:rsidR="007911FA">
        <w:t>conclude in the Resolution that</w:t>
      </w:r>
      <w:r w:rsidR="00F07A93">
        <w:t>:</w:t>
      </w:r>
      <w:r w:rsidR="007911FA">
        <w:t xml:space="preserve"> </w:t>
      </w:r>
    </w:p>
    <w:p w:rsidR="00DF1BCB" w:rsidRDefault="007911FA" w:rsidP="00A32A28">
      <w:pPr>
        <w:pStyle w:val="NoSpacing"/>
        <w:numPr>
          <w:ilvl w:val="0"/>
          <w:numId w:val="13"/>
        </w:numPr>
        <w:ind w:left="1656"/>
      </w:pPr>
      <w:r>
        <w:t xml:space="preserve">the projected useful life of the </w:t>
      </w:r>
      <w:r w:rsidR="002544F0">
        <w:t xml:space="preserve">qualifying project </w:t>
      </w:r>
      <w:r>
        <w:t>will be greater than the term of the</w:t>
      </w:r>
      <w:r w:rsidR="002544F0">
        <w:t xml:space="preserve"> b</w:t>
      </w:r>
      <w:r>
        <w:t>onds that are issued</w:t>
      </w:r>
      <w:r w:rsidR="002544F0">
        <w:t xml:space="preserve"> as required</w:t>
      </w:r>
      <w:r w:rsidR="00DF1BCB">
        <w:t xml:space="preserve"> </w:t>
      </w:r>
      <w:r w:rsidR="002544F0">
        <w:t>by §7-6-1542(4)</w:t>
      </w:r>
      <w:r w:rsidR="00DF1BCB">
        <w:t>;</w:t>
      </w:r>
      <w:r w:rsidR="00955F06">
        <w:t xml:space="preserve"> </w:t>
      </w:r>
    </w:p>
    <w:p w:rsidR="00304C63" w:rsidRDefault="00DF1BCB" w:rsidP="00A32A28">
      <w:pPr>
        <w:pStyle w:val="NoSpacing"/>
        <w:numPr>
          <w:ilvl w:val="0"/>
          <w:numId w:val="13"/>
        </w:numPr>
        <w:ind w:left="1656"/>
      </w:pPr>
      <w:r>
        <w:t xml:space="preserve">that </w:t>
      </w:r>
      <w:r w:rsidR="000F7731">
        <w:t xml:space="preserve">the bonds </w:t>
      </w:r>
      <w:r w:rsidR="00F07A93">
        <w:t>may not be issued for a term longer than the remaining duration of the District</w:t>
      </w:r>
      <w:r w:rsidR="00304C63">
        <w:t>; and</w:t>
      </w:r>
    </w:p>
    <w:p w:rsidR="007911FA" w:rsidRDefault="00304C63" w:rsidP="00A32A28">
      <w:pPr>
        <w:pStyle w:val="NoSpacing"/>
        <w:numPr>
          <w:ilvl w:val="0"/>
          <w:numId w:val="13"/>
        </w:numPr>
        <w:ind w:left="1656"/>
      </w:pPr>
      <w:r>
        <w:t xml:space="preserve">that the annual </w:t>
      </w:r>
      <w:r w:rsidR="00955F06">
        <w:t>p</w:t>
      </w:r>
      <w:r>
        <w:t>rincipal and interest payment on the bonds issued will not cumulatively exceed 25% of the average of resort tax revenue received by the District during the preceding five (5) years</w:t>
      </w:r>
      <w:r w:rsidR="00F07A93">
        <w:t>.</w:t>
      </w:r>
      <w:r w:rsidR="007911FA">
        <w:t xml:space="preserve"> </w:t>
      </w:r>
    </w:p>
    <w:p w:rsidR="00DD4C68" w:rsidRPr="00F22C79" w:rsidRDefault="00DD4C68" w:rsidP="00794C9A">
      <w:pPr>
        <w:pStyle w:val="NoSpacing"/>
        <w:ind w:left="1872"/>
        <w:rPr>
          <w:rFonts w:ascii="Calibri Light" w:hAnsi="Calibri Light"/>
          <w:u w:val="single"/>
        </w:rPr>
      </w:pPr>
    </w:p>
    <w:p w:rsidR="00060529" w:rsidRDefault="00060529" w:rsidP="00794C9A">
      <w:pPr>
        <w:pStyle w:val="NoSpacing"/>
        <w:ind w:left="1872"/>
        <w:rPr>
          <w:rFonts w:ascii="Calibri Light" w:hAnsi="Calibri Light"/>
        </w:rPr>
      </w:pPr>
      <w:r w:rsidRPr="00F22C79">
        <w:rPr>
          <w:rFonts w:ascii="Calibri Light" w:hAnsi="Calibri Light"/>
        </w:rPr>
        <w:tab/>
      </w:r>
      <w:r w:rsidRPr="00F22C79">
        <w:rPr>
          <w:rFonts w:ascii="Calibri Light" w:hAnsi="Calibri Light"/>
        </w:rPr>
        <w:tab/>
      </w:r>
      <w:r w:rsidRPr="00F22C79">
        <w:rPr>
          <w:rFonts w:ascii="Calibri Light" w:hAnsi="Calibri Light"/>
        </w:rPr>
        <w:tab/>
      </w:r>
      <w:r w:rsidRPr="00F22C79">
        <w:rPr>
          <w:rFonts w:ascii="Calibri Light" w:hAnsi="Calibri Light"/>
        </w:rPr>
        <w:tab/>
      </w:r>
      <w:r w:rsidRPr="00F22C79">
        <w:rPr>
          <w:rFonts w:ascii="Calibri Light" w:hAnsi="Calibri Light"/>
        </w:rPr>
        <w:tab/>
        <w:t>END</w:t>
      </w:r>
    </w:p>
    <w:p w:rsidR="00F22C79" w:rsidRPr="00F22C79" w:rsidRDefault="00F22C79" w:rsidP="00794C9A">
      <w:pPr>
        <w:pStyle w:val="NoSpacing"/>
        <w:ind w:left="1872"/>
        <w:rPr>
          <w:rFonts w:ascii="Calibri Light" w:hAnsi="Calibri Light"/>
        </w:rPr>
      </w:pPr>
    </w:p>
    <w:p w:rsidR="00F22C79" w:rsidRPr="00F22C79" w:rsidRDefault="00F22C79" w:rsidP="00F22C79">
      <w:pPr>
        <w:spacing w:after="0" w:line="240" w:lineRule="auto"/>
        <w:rPr>
          <w:rFonts w:ascii="Calibri Light" w:hAnsi="Calibri Light" w:cs="Times New Roman"/>
        </w:rPr>
      </w:pPr>
      <w:r w:rsidRPr="00F22C79">
        <w:rPr>
          <w:rFonts w:ascii="Calibri Light" w:hAnsi="Calibri Light" w:cs="Times New Roman"/>
        </w:rPr>
        <w:t>1</w:t>
      </w:r>
      <w:r w:rsidRPr="00F22C79">
        <w:rPr>
          <w:rFonts w:ascii="Calibri Light" w:hAnsi="Calibri Light" w:cs="Times New Roman"/>
          <w:vertAlign w:val="superscript"/>
        </w:rPr>
        <w:t>st</w:t>
      </w:r>
      <w:r w:rsidRPr="00F22C79">
        <w:rPr>
          <w:rFonts w:ascii="Calibri Light" w:hAnsi="Calibri Light" w:cs="Times New Roman"/>
        </w:rPr>
        <w:t xml:space="preserve"> Reading </w:t>
      </w:r>
      <w:r w:rsidRPr="00F22C79">
        <w:rPr>
          <w:rFonts w:ascii="Calibri Light" w:hAnsi="Calibri Light" w:cs="Times New Roman"/>
          <w:u w:val="single"/>
        </w:rPr>
        <w:t xml:space="preserve">                                                                </w:t>
      </w:r>
      <w:r w:rsidRPr="00F22C79">
        <w:rPr>
          <w:rFonts w:ascii="Calibri Light" w:hAnsi="Calibri Light" w:cs="Times New Roman"/>
          <w:u w:val="single"/>
        </w:rPr>
        <w:tab/>
      </w:r>
      <w:r w:rsidRPr="00F22C79">
        <w:rPr>
          <w:rFonts w:ascii="Calibri Light" w:hAnsi="Calibri Light" w:cs="Times New Roman"/>
        </w:rPr>
        <w:t xml:space="preserve">Vote:  </w:t>
      </w:r>
      <w:r w:rsidRPr="00F22C79">
        <w:rPr>
          <w:rFonts w:ascii="Calibri Light" w:hAnsi="Calibri Light" w:cs="Times New Roman"/>
        </w:rPr>
        <w:softHyphen/>
      </w:r>
      <w:r w:rsidRPr="00F22C79">
        <w:rPr>
          <w:rFonts w:ascii="Calibri Light" w:hAnsi="Calibri Light" w:cs="Times New Roman"/>
        </w:rPr>
        <w:softHyphen/>
      </w:r>
      <w:r w:rsidRPr="00F22C79">
        <w:rPr>
          <w:rFonts w:ascii="Calibri Light" w:hAnsi="Calibri Light" w:cs="Times New Roman"/>
        </w:rPr>
        <w:softHyphen/>
      </w:r>
      <w:r w:rsidRPr="00F22C79">
        <w:rPr>
          <w:rFonts w:ascii="Calibri Light" w:hAnsi="Calibri Light" w:cs="Times New Roman"/>
        </w:rPr>
        <w:softHyphen/>
      </w:r>
      <w:r w:rsidRPr="00F22C79">
        <w:rPr>
          <w:rFonts w:ascii="Calibri Light" w:hAnsi="Calibri Light" w:cs="Times New Roman"/>
        </w:rPr>
        <w:softHyphen/>
        <w:t>_______________ Date</w:t>
      </w:r>
      <w:proofErr w:type="gramStart"/>
      <w:r w:rsidRPr="00F22C79">
        <w:rPr>
          <w:rFonts w:ascii="Calibri Light" w:hAnsi="Calibri Light" w:cs="Times New Roman"/>
        </w:rPr>
        <w:t>:_</w:t>
      </w:r>
      <w:proofErr w:type="gramEnd"/>
      <w:r w:rsidRPr="00F22C79">
        <w:rPr>
          <w:rFonts w:ascii="Calibri Light" w:hAnsi="Calibri Light" w:cs="Times New Roman"/>
        </w:rPr>
        <w:t xml:space="preserve">_______       </w:t>
      </w:r>
    </w:p>
    <w:p w:rsidR="00F22C79" w:rsidRPr="00F22C79" w:rsidRDefault="00F22C79" w:rsidP="00F22C79">
      <w:pPr>
        <w:spacing w:after="0" w:line="240" w:lineRule="auto"/>
        <w:rPr>
          <w:rFonts w:ascii="Calibri Light" w:hAnsi="Calibri Light" w:cs="Times New Roman"/>
        </w:rPr>
      </w:pPr>
      <w:r w:rsidRPr="00F22C79">
        <w:rPr>
          <w:rFonts w:ascii="Calibri Light" w:hAnsi="Calibri Light" w:cs="Times New Roman"/>
        </w:rPr>
        <w:tab/>
        <w:t xml:space="preserve">       Chairperson</w:t>
      </w:r>
    </w:p>
    <w:p w:rsidR="00F22C79" w:rsidRPr="00F22C79" w:rsidRDefault="00F22C79" w:rsidP="00F22C79">
      <w:pPr>
        <w:spacing w:after="0" w:line="240" w:lineRule="auto"/>
        <w:rPr>
          <w:rFonts w:ascii="Calibri Light" w:hAnsi="Calibri Light" w:cs="Times New Roman"/>
        </w:rPr>
      </w:pPr>
    </w:p>
    <w:p w:rsidR="00F22C79" w:rsidRPr="00F22C79" w:rsidRDefault="00F22C79" w:rsidP="00F22C79">
      <w:pPr>
        <w:spacing w:after="0" w:line="240" w:lineRule="auto"/>
        <w:rPr>
          <w:rFonts w:ascii="Calibri Light" w:hAnsi="Calibri Light" w:cs="Times New Roman"/>
        </w:rPr>
      </w:pPr>
      <w:r w:rsidRPr="00F22C79">
        <w:rPr>
          <w:rFonts w:ascii="Calibri Light" w:hAnsi="Calibri Light" w:cs="Times New Roman"/>
        </w:rPr>
        <w:t>2</w:t>
      </w:r>
      <w:r w:rsidRPr="00F22C79">
        <w:rPr>
          <w:rFonts w:ascii="Calibri Light" w:hAnsi="Calibri Light" w:cs="Times New Roman"/>
          <w:vertAlign w:val="superscript"/>
        </w:rPr>
        <w:t>nd</w:t>
      </w:r>
      <w:r w:rsidRPr="00F22C79">
        <w:rPr>
          <w:rFonts w:ascii="Calibri Light" w:hAnsi="Calibri Light" w:cs="Times New Roman"/>
        </w:rPr>
        <w:t xml:space="preserve"> Reading </w:t>
      </w:r>
      <w:r w:rsidRPr="00F22C79">
        <w:rPr>
          <w:rFonts w:ascii="Calibri Light" w:hAnsi="Calibri Light" w:cs="Times New Roman"/>
          <w:u w:val="single"/>
        </w:rPr>
        <w:t xml:space="preserve">                                                                </w:t>
      </w:r>
      <w:r w:rsidRPr="00F22C79">
        <w:rPr>
          <w:rFonts w:ascii="Calibri Light" w:hAnsi="Calibri Light" w:cs="Times New Roman"/>
          <w:u w:val="single"/>
        </w:rPr>
        <w:tab/>
      </w:r>
      <w:r w:rsidRPr="00F22C79">
        <w:rPr>
          <w:rFonts w:ascii="Calibri Light" w:hAnsi="Calibri Light" w:cs="Times New Roman"/>
        </w:rPr>
        <w:t xml:space="preserve">Vote:  </w:t>
      </w:r>
      <w:r w:rsidRPr="00F22C79">
        <w:rPr>
          <w:rFonts w:ascii="Calibri Light" w:hAnsi="Calibri Light" w:cs="Times New Roman"/>
        </w:rPr>
        <w:softHyphen/>
      </w:r>
      <w:r w:rsidRPr="00F22C79">
        <w:rPr>
          <w:rFonts w:ascii="Calibri Light" w:hAnsi="Calibri Light" w:cs="Times New Roman"/>
        </w:rPr>
        <w:softHyphen/>
      </w:r>
      <w:r w:rsidRPr="00F22C79">
        <w:rPr>
          <w:rFonts w:ascii="Calibri Light" w:hAnsi="Calibri Light" w:cs="Times New Roman"/>
        </w:rPr>
        <w:softHyphen/>
      </w:r>
      <w:r w:rsidRPr="00F22C79">
        <w:rPr>
          <w:rFonts w:ascii="Calibri Light" w:hAnsi="Calibri Light" w:cs="Times New Roman"/>
        </w:rPr>
        <w:softHyphen/>
        <w:t>_______________ Date</w:t>
      </w:r>
      <w:proofErr w:type="gramStart"/>
      <w:r w:rsidRPr="00F22C79">
        <w:rPr>
          <w:rFonts w:ascii="Calibri Light" w:hAnsi="Calibri Light" w:cs="Times New Roman"/>
        </w:rPr>
        <w:t>:_</w:t>
      </w:r>
      <w:proofErr w:type="gramEnd"/>
      <w:r w:rsidRPr="00F22C79">
        <w:rPr>
          <w:rFonts w:ascii="Calibri Light" w:hAnsi="Calibri Light" w:cs="Times New Roman"/>
        </w:rPr>
        <w:t>_______</w:t>
      </w:r>
      <w:r w:rsidRPr="00F22C79">
        <w:rPr>
          <w:rFonts w:ascii="Calibri Light" w:hAnsi="Calibri Light" w:cs="Times New Roman"/>
        </w:rPr>
        <w:tab/>
        <w:t xml:space="preserve">    </w:t>
      </w:r>
      <w:r w:rsidRPr="00F22C79">
        <w:rPr>
          <w:rFonts w:ascii="Calibri Light" w:hAnsi="Calibri Light" w:cs="Times New Roman"/>
        </w:rPr>
        <w:tab/>
        <w:t xml:space="preserve">       </w:t>
      </w:r>
      <w:r>
        <w:rPr>
          <w:rFonts w:ascii="Calibri Light" w:hAnsi="Calibri Light" w:cs="Times New Roman"/>
        </w:rPr>
        <w:tab/>
        <w:t xml:space="preserve">      </w:t>
      </w:r>
      <w:r w:rsidRPr="00F22C79">
        <w:rPr>
          <w:rFonts w:ascii="Calibri Light" w:hAnsi="Calibri Light" w:cs="Times New Roman"/>
        </w:rPr>
        <w:t>Chairperson</w:t>
      </w:r>
    </w:p>
    <w:p w:rsidR="00F22C79" w:rsidRPr="00F22C79" w:rsidRDefault="00F22C79" w:rsidP="00F22C79">
      <w:pPr>
        <w:spacing w:after="0" w:line="240" w:lineRule="auto"/>
        <w:rPr>
          <w:rFonts w:ascii="Calibri Light" w:hAnsi="Calibri Light" w:cs="Times New Roman"/>
        </w:rPr>
      </w:pPr>
    </w:p>
    <w:p w:rsidR="00F22C79" w:rsidRPr="00F22C79" w:rsidRDefault="00F22C79" w:rsidP="00F22C79">
      <w:pPr>
        <w:spacing w:after="0" w:line="240" w:lineRule="auto"/>
        <w:rPr>
          <w:rFonts w:ascii="Calibri Light" w:hAnsi="Calibri Light" w:cs="Times New Roman"/>
        </w:rPr>
      </w:pPr>
      <w:r w:rsidRPr="00F22C79">
        <w:rPr>
          <w:rFonts w:ascii="Calibri Light" w:hAnsi="Calibri Light" w:cs="Times New Roman"/>
        </w:rPr>
        <w:t>By: _______________________________________Date:_________________</w:t>
      </w:r>
    </w:p>
    <w:p w:rsidR="00DD4C68" w:rsidRPr="00F22C79" w:rsidRDefault="00F22C79" w:rsidP="00F22C79">
      <w:pPr>
        <w:spacing w:after="0" w:line="240" w:lineRule="auto"/>
        <w:rPr>
          <w:rFonts w:ascii="Calibri Light" w:hAnsi="Calibri Light" w:cs="Times New Roman"/>
        </w:rPr>
      </w:pPr>
      <w:r w:rsidRPr="00F22C79">
        <w:rPr>
          <w:rFonts w:ascii="Calibri Light" w:hAnsi="Calibri Light" w:cs="Times New Roman"/>
        </w:rPr>
        <w:t xml:space="preserve">       Chairperson</w:t>
      </w:r>
    </w:p>
    <w:sectPr w:rsidR="00DD4C68" w:rsidRPr="00F22C79" w:rsidSect="00F22C7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0D7"/>
    <w:multiLevelType w:val="hybridMultilevel"/>
    <w:tmpl w:val="20FA712C"/>
    <w:lvl w:ilvl="0" w:tplc="C62CFF5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932D8"/>
    <w:multiLevelType w:val="hybridMultilevel"/>
    <w:tmpl w:val="8D3CC072"/>
    <w:lvl w:ilvl="0" w:tplc="15A00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03320"/>
    <w:multiLevelType w:val="hybridMultilevel"/>
    <w:tmpl w:val="4BFA420A"/>
    <w:lvl w:ilvl="0" w:tplc="FDF0AC6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D1252"/>
    <w:multiLevelType w:val="hybridMultilevel"/>
    <w:tmpl w:val="1FF2F85E"/>
    <w:lvl w:ilvl="0" w:tplc="2F6C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D1874"/>
    <w:multiLevelType w:val="hybridMultilevel"/>
    <w:tmpl w:val="AB3CA17A"/>
    <w:lvl w:ilvl="0" w:tplc="331C0D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2E3BEF"/>
    <w:multiLevelType w:val="hybridMultilevel"/>
    <w:tmpl w:val="435EE80E"/>
    <w:lvl w:ilvl="0" w:tplc="668EE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6124EF"/>
    <w:multiLevelType w:val="hybridMultilevel"/>
    <w:tmpl w:val="BAE21B38"/>
    <w:lvl w:ilvl="0" w:tplc="4458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1230E9"/>
    <w:multiLevelType w:val="hybridMultilevel"/>
    <w:tmpl w:val="5CB02B26"/>
    <w:lvl w:ilvl="0" w:tplc="F0AA74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6717E3E"/>
    <w:multiLevelType w:val="hybridMultilevel"/>
    <w:tmpl w:val="0DD63746"/>
    <w:lvl w:ilvl="0" w:tplc="10364D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A06D5C"/>
    <w:multiLevelType w:val="hybridMultilevel"/>
    <w:tmpl w:val="8CAC12F0"/>
    <w:lvl w:ilvl="0" w:tplc="D742A1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590E8C"/>
    <w:multiLevelType w:val="hybridMultilevel"/>
    <w:tmpl w:val="E7FE8F30"/>
    <w:lvl w:ilvl="0" w:tplc="A79A2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A2FC3"/>
    <w:multiLevelType w:val="hybridMultilevel"/>
    <w:tmpl w:val="3140AB0A"/>
    <w:lvl w:ilvl="0" w:tplc="5D0AB8E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FB13C2"/>
    <w:multiLevelType w:val="hybridMultilevel"/>
    <w:tmpl w:val="C900872A"/>
    <w:lvl w:ilvl="0" w:tplc="02DC0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C01225"/>
    <w:multiLevelType w:val="hybridMultilevel"/>
    <w:tmpl w:val="08C6E68C"/>
    <w:lvl w:ilvl="0" w:tplc="6EF2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1"/>
  </w:num>
  <w:num w:numId="5">
    <w:abstractNumId w:val="7"/>
  </w:num>
  <w:num w:numId="6">
    <w:abstractNumId w:val="5"/>
  </w:num>
  <w:num w:numId="7">
    <w:abstractNumId w:val="2"/>
  </w:num>
  <w:num w:numId="8">
    <w:abstractNumId w:val="10"/>
  </w:num>
  <w:num w:numId="9">
    <w:abstractNumId w:val="6"/>
  </w:num>
  <w:num w:numId="10">
    <w:abstractNumId w:val="12"/>
  </w:num>
  <w:num w:numId="11">
    <w:abstractNumId w:val="11"/>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5"/>
    <w:rsid w:val="00003725"/>
    <w:rsid w:val="00022C3A"/>
    <w:rsid w:val="00043861"/>
    <w:rsid w:val="00060529"/>
    <w:rsid w:val="000A3F0C"/>
    <w:rsid w:val="000A7E55"/>
    <w:rsid w:val="000B126E"/>
    <w:rsid w:val="000B68C4"/>
    <w:rsid w:val="000C6866"/>
    <w:rsid w:val="000D27D7"/>
    <w:rsid w:val="000F1794"/>
    <w:rsid w:val="000F17CA"/>
    <w:rsid w:val="000F7731"/>
    <w:rsid w:val="001025DA"/>
    <w:rsid w:val="00102FF6"/>
    <w:rsid w:val="001201AF"/>
    <w:rsid w:val="00135AE2"/>
    <w:rsid w:val="00167830"/>
    <w:rsid w:val="00193D84"/>
    <w:rsid w:val="001B092F"/>
    <w:rsid w:val="00206538"/>
    <w:rsid w:val="00230AE1"/>
    <w:rsid w:val="00232638"/>
    <w:rsid w:val="00236239"/>
    <w:rsid w:val="002544F0"/>
    <w:rsid w:val="002911F3"/>
    <w:rsid w:val="002D5830"/>
    <w:rsid w:val="00304C63"/>
    <w:rsid w:val="00344353"/>
    <w:rsid w:val="00387E6D"/>
    <w:rsid w:val="00392584"/>
    <w:rsid w:val="003A4E24"/>
    <w:rsid w:val="003E16EC"/>
    <w:rsid w:val="0042462E"/>
    <w:rsid w:val="00441B47"/>
    <w:rsid w:val="00496EB8"/>
    <w:rsid w:val="00511A7C"/>
    <w:rsid w:val="00515463"/>
    <w:rsid w:val="00520D82"/>
    <w:rsid w:val="0053597F"/>
    <w:rsid w:val="005402E8"/>
    <w:rsid w:val="00561064"/>
    <w:rsid w:val="005636A8"/>
    <w:rsid w:val="00565F0A"/>
    <w:rsid w:val="00583FEB"/>
    <w:rsid w:val="0059302B"/>
    <w:rsid w:val="00593B8B"/>
    <w:rsid w:val="005B66FE"/>
    <w:rsid w:val="00686731"/>
    <w:rsid w:val="006A3631"/>
    <w:rsid w:val="006B353C"/>
    <w:rsid w:val="006C76CA"/>
    <w:rsid w:val="006E1AF7"/>
    <w:rsid w:val="007160A6"/>
    <w:rsid w:val="00723D21"/>
    <w:rsid w:val="00741DD6"/>
    <w:rsid w:val="007518FC"/>
    <w:rsid w:val="00765DFE"/>
    <w:rsid w:val="007717F0"/>
    <w:rsid w:val="007911FA"/>
    <w:rsid w:val="007931B7"/>
    <w:rsid w:val="00794C9A"/>
    <w:rsid w:val="007D680E"/>
    <w:rsid w:val="007E4AD5"/>
    <w:rsid w:val="007F40D8"/>
    <w:rsid w:val="007F73F1"/>
    <w:rsid w:val="008127A4"/>
    <w:rsid w:val="00820718"/>
    <w:rsid w:val="0083776F"/>
    <w:rsid w:val="00851F20"/>
    <w:rsid w:val="00897A9E"/>
    <w:rsid w:val="00897D40"/>
    <w:rsid w:val="008A12A2"/>
    <w:rsid w:val="008D7F72"/>
    <w:rsid w:val="00905438"/>
    <w:rsid w:val="0094587E"/>
    <w:rsid w:val="00955F06"/>
    <w:rsid w:val="00970CF0"/>
    <w:rsid w:val="00972FCB"/>
    <w:rsid w:val="00986BFF"/>
    <w:rsid w:val="009A2443"/>
    <w:rsid w:val="009E2755"/>
    <w:rsid w:val="00A03DB6"/>
    <w:rsid w:val="00A2223F"/>
    <w:rsid w:val="00A32A28"/>
    <w:rsid w:val="00A41D3D"/>
    <w:rsid w:val="00A55F18"/>
    <w:rsid w:val="00A96CDA"/>
    <w:rsid w:val="00AA0633"/>
    <w:rsid w:val="00AA3C58"/>
    <w:rsid w:val="00B04E60"/>
    <w:rsid w:val="00BB4FEB"/>
    <w:rsid w:val="00BE0A2E"/>
    <w:rsid w:val="00C0664E"/>
    <w:rsid w:val="00C2207C"/>
    <w:rsid w:val="00C64FD1"/>
    <w:rsid w:val="00C656DC"/>
    <w:rsid w:val="00C76698"/>
    <w:rsid w:val="00CA0BD0"/>
    <w:rsid w:val="00CA3D45"/>
    <w:rsid w:val="00CA79C1"/>
    <w:rsid w:val="00CB1385"/>
    <w:rsid w:val="00CE0E8C"/>
    <w:rsid w:val="00CE3836"/>
    <w:rsid w:val="00CF057B"/>
    <w:rsid w:val="00D005A0"/>
    <w:rsid w:val="00D03005"/>
    <w:rsid w:val="00D365FA"/>
    <w:rsid w:val="00D5375B"/>
    <w:rsid w:val="00D5509A"/>
    <w:rsid w:val="00D63037"/>
    <w:rsid w:val="00D724DA"/>
    <w:rsid w:val="00D75ACE"/>
    <w:rsid w:val="00D917D2"/>
    <w:rsid w:val="00DA3F01"/>
    <w:rsid w:val="00DA7280"/>
    <w:rsid w:val="00DD4C68"/>
    <w:rsid w:val="00DD5436"/>
    <w:rsid w:val="00DF1BCB"/>
    <w:rsid w:val="00E077DA"/>
    <w:rsid w:val="00E1403F"/>
    <w:rsid w:val="00E152BE"/>
    <w:rsid w:val="00E30AEB"/>
    <w:rsid w:val="00E53042"/>
    <w:rsid w:val="00E802D3"/>
    <w:rsid w:val="00E93AC5"/>
    <w:rsid w:val="00EF2A05"/>
    <w:rsid w:val="00F057A3"/>
    <w:rsid w:val="00F06396"/>
    <w:rsid w:val="00F07A93"/>
    <w:rsid w:val="00F102AF"/>
    <w:rsid w:val="00F22C79"/>
    <w:rsid w:val="00F45E0B"/>
    <w:rsid w:val="00F62AD5"/>
    <w:rsid w:val="00F7709B"/>
    <w:rsid w:val="00F82E2D"/>
    <w:rsid w:val="00F90E94"/>
    <w:rsid w:val="00F9493D"/>
    <w:rsid w:val="00FA420E"/>
    <w:rsid w:val="00FB19DD"/>
    <w:rsid w:val="00FC65E7"/>
    <w:rsid w:val="00FE4EC5"/>
    <w:rsid w:val="00FE618B"/>
    <w:rsid w:val="00FF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9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BSRAD</cp:lastModifiedBy>
  <cp:revision>2</cp:revision>
  <cp:lastPrinted>2014-04-09T15:32:00Z</cp:lastPrinted>
  <dcterms:created xsi:type="dcterms:W3CDTF">2014-10-14T00:42:00Z</dcterms:created>
  <dcterms:modified xsi:type="dcterms:W3CDTF">2014-10-14T00:42:00Z</dcterms:modified>
</cp:coreProperties>
</file>